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1B" w:rsidRDefault="00A6311B">
      <w:pPr>
        <w:pStyle w:val="21"/>
        <w:shd w:val="clear" w:color="auto" w:fill="auto"/>
        <w:ind w:left="5360" w:firstLine="2720"/>
      </w:pPr>
      <w:r>
        <w:t>Додаток №1 до рішення сесії Балтської міської ради Одеської області</w:t>
      </w:r>
    </w:p>
    <w:p w:rsidR="00A6311B" w:rsidRDefault="00A6311B">
      <w:pPr>
        <w:pStyle w:val="21"/>
        <w:shd w:val="clear" w:color="auto" w:fill="auto"/>
        <w:tabs>
          <w:tab w:val="left" w:pos="8662"/>
        </w:tabs>
        <w:spacing w:line="547" w:lineRule="exact"/>
        <w:ind w:left="5360"/>
      </w:pPr>
      <w:r>
        <w:rPr>
          <w:rStyle w:val="20"/>
        </w:rPr>
        <w:t xml:space="preserve">№,^.^-5- </w:t>
      </w:r>
      <w:r>
        <w:rPr>
          <w:rStyle w:val="215pt"/>
          <w:b w:val="0"/>
          <w:bCs w:val="0"/>
        </w:rPr>
        <w:t>ІЗ</w:t>
      </w:r>
      <w:r>
        <w:t xml:space="preserve"> від</w:t>
      </w:r>
      <w:r>
        <w:tab/>
      </w:r>
      <w:r>
        <w:rPr>
          <w:rStyle w:val="215pt"/>
          <w:b w:val="0"/>
          <w:bCs w:val="0"/>
        </w:rPr>
        <w:t>гОіЗ</w:t>
      </w:r>
      <w:r>
        <w:rPr>
          <w:rStyle w:val="215pt1"/>
          <w:b w:val="0"/>
          <w:bCs w:val="0"/>
        </w:rPr>
        <w:t>:</w:t>
      </w:r>
    </w:p>
    <w:p w:rsidR="00A6311B" w:rsidRDefault="00A6311B">
      <w:pPr>
        <w:pStyle w:val="21"/>
        <w:shd w:val="clear" w:color="auto" w:fill="auto"/>
        <w:spacing w:line="547" w:lineRule="exact"/>
        <w:ind w:left="20"/>
        <w:jc w:val="center"/>
      </w:pPr>
      <w:r>
        <w:t>ПОЛОЖЕННЯ</w:t>
      </w:r>
    </w:p>
    <w:p w:rsidR="00A6311B" w:rsidRDefault="00A6311B">
      <w:pPr>
        <w:pStyle w:val="21"/>
        <w:shd w:val="clear" w:color="auto" w:fill="auto"/>
        <w:spacing w:after="48" w:line="240" w:lineRule="exact"/>
        <w:ind w:firstLine="600"/>
        <w:jc w:val="left"/>
      </w:pPr>
      <w:r>
        <w:t>про порядок обчислення та сплати податку на нерухоме майно, відмінне від</w:t>
      </w:r>
    </w:p>
    <w:p w:rsidR="00A6311B" w:rsidRDefault="00A6311B">
      <w:pPr>
        <w:pStyle w:val="21"/>
        <w:shd w:val="clear" w:color="auto" w:fill="auto"/>
        <w:spacing w:after="228" w:line="240" w:lineRule="exact"/>
        <w:ind w:left="20"/>
        <w:jc w:val="center"/>
      </w:pPr>
      <w:r>
        <w:t>земельної ділянки, у місті Балта</w:t>
      </w:r>
    </w:p>
    <w:p w:rsidR="00A6311B" w:rsidRDefault="00A6311B">
      <w:pPr>
        <w:pStyle w:val="21"/>
        <w:numPr>
          <w:ilvl w:val="0"/>
          <w:numId w:val="1"/>
        </w:numPr>
        <w:shd w:val="clear" w:color="auto" w:fill="auto"/>
        <w:tabs>
          <w:tab w:val="left" w:pos="1138"/>
        </w:tabs>
        <w:spacing w:after="177" w:line="240" w:lineRule="exact"/>
        <w:ind w:left="800"/>
      </w:pPr>
      <w:r>
        <w:t>Платники податку</w:t>
      </w:r>
    </w:p>
    <w:p w:rsidR="00A6311B" w:rsidRDefault="00A6311B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Платниками податку є фізичні та юридичні особи, в тому числі нерезиденти, які є власниками об’єктів житлової та/або нежитлової нерухомості.</w:t>
      </w:r>
    </w:p>
    <w:p w:rsidR="00A6311B" w:rsidRDefault="00A6311B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Визначення платників податку в разі перебування об’єктів житлової та/або нежитлової нерухомості у спільній частковій або спільній сумісній власності кількох осіб:</w:t>
      </w:r>
    </w:p>
    <w:p w:rsidR="00A6311B" w:rsidRDefault="00A6311B">
      <w:pPr>
        <w:pStyle w:val="21"/>
        <w:shd w:val="clear" w:color="auto" w:fill="auto"/>
        <w:tabs>
          <w:tab w:val="left" w:pos="362"/>
        </w:tabs>
        <w:spacing w:after="120" w:line="317" w:lineRule="exact"/>
        <w:jc w:val="left"/>
      </w:pPr>
      <w:r>
        <w:t>а)</w:t>
      </w:r>
      <w:r>
        <w:tab/>
        <w:t>якщо об’єкт 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:rsidR="00A6311B" w:rsidRDefault="00A6311B">
      <w:pPr>
        <w:pStyle w:val="21"/>
        <w:shd w:val="clear" w:color="auto" w:fill="auto"/>
        <w:tabs>
          <w:tab w:val="left" w:pos="376"/>
        </w:tabs>
        <w:spacing w:after="124" w:line="317" w:lineRule="exact"/>
        <w:jc w:val="left"/>
      </w:pPr>
      <w:r>
        <w:t>б)</w:t>
      </w:r>
      <w:r>
        <w:tab/>
        <w:t>якщо об’єкт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 в.ласників, визначена за їх згодою, якщо інше не встановлено судом;</w:t>
      </w:r>
    </w:p>
    <w:p w:rsidR="00A6311B" w:rsidRDefault="00A6311B">
      <w:pPr>
        <w:pStyle w:val="21"/>
        <w:shd w:val="clear" w:color="auto" w:fill="auto"/>
        <w:tabs>
          <w:tab w:val="left" w:pos="391"/>
        </w:tabs>
        <w:spacing w:after="178" w:line="312" w:lineRule="exact"/>
        <w:jc w:val="left"/>
      </w:pPr>
      <w:r>
        <w:t>в)</w:t>
      </w:r>
      <w:r>
        <w:tab/>
        <w:t>якщо об’єкт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:rsidR="00A6311B" w:rsidRDefault="00A6311B">
      <w:pPr>
        <w:pStyle w:val="21"/>
        <w:numPr>
          <w:ilvl w:val="0"/>
          <w:numId w:val="1"/>
        </w:numPr>
        <w:shd w:val="clear" w:color="auto" w:fill="auto"/>
        <w:tabs>
          <w:tab w:val="left" w:pos="1152"/>
        </w:tabs>
        <w:spacing w:after="184" w:line="240" w:lineRule="exact"/>
        <w:ind w:left="800"/>
      </w:pPr>
      <w:r>
        <w:t>Об’єкт оподаткування</w:t>
      </w:r>
    </w:p>
    <w:p w:rsidR="00A6311B" w:rsidRDefault="00A6311B">
      <w:pPr>
        <w:pStyle w:val="21"/>
        <w:shd w:val="clear" w:color="auto" w:fill="auto"/>
        <w:spacing w:line="307" w:lineRule="exact"/>
        <w:jc w:val="left"/>
      </w:pPr>
      <w:r>
        <w:t>2.1. Об’єктом оподаткування є об’єкт житлової та нежитлової нерухомості, в тому числі його частка.</w:t>
      </w:r>
    </w:p>
    <w:p w:rsidR="00A6311B" w:rsidRDefault="00A6311B">
      <w:pPr>
        <w:pStyle w:val="30"/>
        <w:shd w:val="clear" w:color="auto" w:fill="auto"/>
        <w:spacing w:after="83" w:line="90" w:lineRule="exact"/>
        <w:ind w:left="8360"/>
      </w:pPr>
      <w:r>
        <w:t>(2</w:t>
      </w:r>
    </w:p>
    <w:p w:rsidR="00A6311B" w:rsidRDefault="00A6311B">
      <w:pPr>
        <w:pStyle w:val="21"/>
        <w:shd w:val="clear" w:color="auto" w:fill="auto"/>
        <w:spacing w:after="180" w:line="240" w:lineRule="exact"/>
        <w:jc w:val="left"/>
      </w:pPr>
      <w:r>
        <w:t>2-2. Не є об’єктом оподаткування:</w:t>
      </w:r>
    </w:p>
    <w:p w:rsidR="00A6311B" w:rsidRDefault="00A6311B">
      <w:pPr>
        <w:pStyle w:val="21"/>
        <w:shd w:val="clear" w:color="auto" w:fill="auto"/>
        <w:spacing w:after="116" w:line="312" w:lineRule="exact"/>
        <w:jc w:val="left"/>
      </w:pPr>
      <w:r>
        <w:t>з об’єкти житлової та нежитлової нерухомості, які перебувають у власності органів державної влади, органів місцевого самоврядування, а також організацій, створених ними з :• становленому порядку, що повністю утримуються за рахунок відловідного державного бволжету' чи місцевого бюджету і є неприбутковими (їх спільній власності);</w:t>
      </w:r>
    </w:p>
    <w:p w:rsidR="00A6311B" w:rsidRDefault="00A6311B">
      <w:pPr>
        <w:pStyle w:val="21"/>
        <w:shd w:val="clear" w:color="auto" w:fill="auto"/>
        <w:spacing w:after="182" w:line="317" w:lineRule="exact"/>
        <w:jc w:val="left"/>
      </w:pPr>
      <w:r>
        <w:t>л об' єкти житлової та нежитлової нерухомості, які розташовані в зонах відчуження та 5«ег.мовного (обов’язкового) відселення, визначені законом, в тому числі їх частки;</w:t>
      </w:r>
    </w:p>
    <w:p w:rsidR="00A6311B" w:rsidRDefault="00A6311B">
      <w:pPr>
        <w:pStyle w:val="21"/>
        <w:shd w:val="clear" w:color="auto" w:fill="auto"/>
        <w:spacing w:after="180" w:line="240" w:lineRule="exact"/>
        <w:jc w:val="left"/>
      </w:pPr>
      <w:r>
        <w:t>з будівлі дитячих будинків сімейного типу;</w:t>
      </w:r>
    </w:p>
    <w:p w:rsidR="00A6311B" w:rsidRDefault="00A6311B">
      <w:pPr>
        <w:pStyle w:val="21"/>
        <w:shd w:val="clear" w:color="auto" w:fill="auto"/>
        <w:spacing w:after="133" w:line="240" w:lineRule="exact"/>
        <w:jc w:val="left"/>
      </w:pPr>
      <w:r>
        <w:t>г гуртожитки;</w:t>
      </w:r>
    </w:p>
    <w:p w:rsidR="00A6311B" w:rsidRDefault="00A6311B">
      <w:pPr>
        <w:pStyle w:val="21"/>
        <w:shd w:val="clear" w:color="auto" w:fill="auto"/>
        <w:spacing w:after="124" w:line="317" w:lineRule="exact"/>
        <w:ind w:firstLine="600"/>
        <w:jc w:val="left"/>
      </w:pPr>
      <w:r>
        <w:t>тлова нерухомість непридатна для проживання, в тому числі у зв язку з аварійним гтзЕом, визнана такою згідно з рішенням міської ради;</w:t>
      </w:r>
    </w:p>
    <w:p w:rsidR="00A6311B" w:rsidRDefault="00A6311B">
      <w:pPr>
        <w:pStyle w:val="21"/>
        <w:shd w:val="clear" w:color="auto" w:fill="auto"/>
        <w:spacing w:line="312" w:lineRule="exact"/>
        <w:jc w:val="left"/>
      </w:pPr>
      <w:r>
        <w:t>І ге'єкти житлової нерухомості, в тому числі їх частки, що належать дітям-сиротам, жгжм. позбавленим батьківського піклування, та особам з і’х числа, визнаним такими «г^гвілно до згжону, дітям-інвалідам, які виховуються одинокиші матерями (батьками), ьге ле більше одного такого об’єкта на дитину;</w:t>
      </w:r>
    </w:p>
    <w:p w:rsidR="00A6311B" w:rsidRDefault="00A6311B">
      <w:pPr>
        <w:pStyle w:val="40"/>
        <w:shd w:val="clear" w:color="auto" w:fill="auto"/>
        <w:spacing w:after="176"/>
      </w:pPr>
      <w:r>
        <w:t>матого та середнього бізнесу, шо провадять свс'Ю діяльність в матих архітектурних фор.мах та на ринках;</w:t>
      </w:r>
    </w:p>
    <w:p w:rsidR="00A6311B" w:rsidRDefault="00A6311B">
      <w:pPr>
        <w:pStyle w:val="21"/>
        <w:shd w:val="clear" w:color="auto" w:fill="auto"/>
        <w:spacing w:after="180" w:line="312" w:lineRule="exact"/>
        <w:jc w:val="left"/>
      </w:pPr>
      <w:r>
        <w:t>є) будівлі промисловості, зокрема виробничі корпуси, цехи, складські приміщення промислових підприємств;</w:t>
      </w:r>
    </w:p>
    <w:p w:rsidR="00A6311B" w:rsidRDefault="00A6311B">
      <w:pPr>
        <w:pStyle w:val="21"/>
        <w:shd w:val="clear" w:color="auto" w:fill="auto"/>
        <w:tabs>
          <w:tab w:val="left" w:pos="404"/>
        </w:tabs>
        <w:spacing w:after="180" w:line="312" w:lineRule="exact"/>
        <w:jc w:val="left"/>
      </w:pPr>
      <w:r>
        <w:t>ж)</w:t>
      </w:r>
      <w:r>
        <w:tab/>
        <w:t>будівлі, споруди сільськогосподарських товаровиробників, призначені для. використання безпосередньо у сільськогосподарській діяльності;</w:t>
      </w:r>
    </w:p>
    <w:p w:rsidR="00A6311B" w:rsidRDefault="00A6311B">
      <w:pPr>
        <w:pStyle w:val="21"/>
        <w:shd w:val="clear" w:color="auto" w:fill="auto"/>
        <w:tabs>
          <w:tab w:val="left" w:pos="404"/>
        </w:tabs>
        <w:spacing w:after="238" w:line="312" w:lineRule="exact"/>
        <w:jc w:val="left"/>
      </w:pPr>
      <w:r>
        <w:t>з)</w:t>
      </w:r>
      <w:r>
        <w:tab/>
        <w:t>об’єкти житлової та нежитлової нерухомості, які перебувають у власності громадських організацій інвалідів та їх підприємств.</w:t>
      </w:r>
    </w:p>
    <w:p w:rsidR="00A6311B" w:rsidRDefault="00A6311B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77" w:line="240" w:lineRule="exact"/>
        <w:ind w:left="820"/>
      </w:pPr>
      <w:bookmarkStart w:id="0" w:name="bookmark0"/>
      <w:r>
        <w:t>База оподаткування</w:t>
      </w:r>
      <w:bookmarkEnd w:id="0"/>
    </w:p>
    <w:p w:rsidR="00A6311B" w:rsidRDefault="00A6311B">
      <w:pPr>
        <w:pStyle w:val="21"/>
        <w:numPr>
          <w:ilvl w:val="1"/>
          <w:numId w:val="2"/>
        </w:numPr>
        <w:shd w:val="clear" w:color="auto" w:fill="auto"/>
        <w:tabs>
          <w:tab w:val="left" w:pos="515"/>
        </w:tabs>
        <w:spacing w:after="184" w:line="317" w:lineRule="exact"/>
        <w:jc w:val="left"/>
      </w:pPr>
      <w:r>
        <w:t>Базою оподаткування є загальна площа об’єкта житлової та нежитлової нерухомості, в тому числі його часток.</w:t>
      </w:r>
    </w:p>
    <w:p w:rsidR="00A6311B" w:rsidRDefault="00A6311B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180" w:line="312" w:lineRule="exact"/>
        <w:jc w:val="left"/>
      </w:pPr>
      <w:r>
        <w:t>База оподаткування об’єктів житлової та нежитлової нерухомості, в тому числі їх часток, які перебувають у власності фізичних осіб, обчислюється контролюючим органом на підставі даних Державного реєстру речових прав на нерухоме майно, що безоплатно надаються органами державної реєстрації прав на нерухоме майно та/або на підставі оригіналів відповідних документів платника податків, зокрема докутиентів на право власності.</w:t>
      </w:r>
    </w:p>
    <w:p w:rsidR="00A6311B" w:rsidRDefault="00A6311B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238" w:line="312" w:lineRule="exact"/>
        <w:jc w:val="left"/>
      </w:pPr>
      <w:r>
        <w:t>База оподаткування об’єктів житлової та нежитлової нерухомості, в тому числі їх часток, що перебувають у власності юридичних осіб, обчислюється такими особами самостійно виходячи із загальної площі кожного окремого об’єкта оподаткування на підставі документів, що підтверджують право власності на такий об’єкт.</w:t>
      </w:r>
    </w:p>
    <w:p w:rsidR="00A6311B" w:rsidRDefault="00A6311B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81" w:line="240" w:lineRule="exact"/>
        <w:ind w:left="820"/>
      </w:pPr>
      <w:bookmarkStart w:id="1" w:name="bookmark1"/>
      <w:r>
        <w:t>Пільги зі сплати податку</w:t>
      </w:r>
      <w:bookmarkEnd w:id="1"/>
    </w:p>
    <w:p w:rsidR="00A6311B" w:rsidRDefault="00A6311B">
      <w:pPr>
        <w:pStyle w:val="21"/>
        <w:shd w:val="clear" w:color="auto" w:fill="auto"/>
        <w:spacing w:after="242" w:line="317" w:lineRule="exact"/>
        <w:jc w:val="left"/>
      </w:pPr>
      <w:r>
        <w:t>4.1. 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A6311B" w:rsidRDefault="00A6311B">
      <w:pPr>
        <w:pStyle w:val="21"/>
        <w:shd w:val="clear" w:color="auto" w:fill="auto"/>
        <w:tabs>
          <w:tab w:val="left" w:pos="347"/>
        </w:tabs>
        <w:spacing w:after="242" w:line="240" w:lineRule="exact"/>
      </w:pPr>
      <w:r>
        <w:t>а)</w:t>
      </w:r>
      <w:r>
        <w:tab/>
        <w:t>хля квартири/квартир незалежно від їх кількості - на 120 кв. метрів;</w:t>
      </w:r>
    </w:p>
    <w:p w:rsidR="00A6311B" w:rsidRDefault="00A6311B">
      <w:pPr>
        <w:pStyle w:val="21"/>
        <w:shd w:val="clear" w:color="auto" w:fill="auto"/>
        <w:tabs>
          <w:tab w:val="left" w:pos="361"/>
        </w:tabs>
        <w:spacing w:after="189" w:line="240" w:lineRule="exact"/>
      </w:pPr>
      <w:r>
        <w:t>б)</w:t>
      </w:r>
      <w:r>
        <w:tab/>
        <w:t>хля житлового будинку/будинків незалежно від їх кількості - на 240 кв. метрів;</w:t>
      </w:r>
    </w:p>
    <w:p w:rsidR="00A6311B" w:rsidRDefault="00A6311B">
      <w:pPr>
        <w:pStyle w:val="21"/>
        <w:shd w:val="clear" w:color="auto" w:fill="auto"/>
        <w:tabs>
          <w:tab w:val="left" w:pos="366"/>
        </w:tabs>
        <w:spacing w:after="238" w:line="312" w:lineRule="exact"/>
        <w:jc w:val="left"/>
      </w:pPr>
      <w:r>
        <w:t>в)</w:t>
      </w:r>
      <w:r>
        <w:tab/>
        <w:t>хля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оудйнку/будннкін, у тому числі їх часток), - на 360 кв. метрів;</w:t>
      </w:r>
    </w:p>
    <w:p w:rsidR="00A6311B" w:rsidRDefault="00A6311B">
      <w:pPr>
        <w:pStyle w:val="21"/>
        <w:shd w:val="clear" w:color="auto" w:fill="auto"/>
        <w:spacing w:after="193" w:line="240" w:lineRule="exact"/>
      </w:pPr>
      <w:r>
        <w:t>Таке зменшення надається один раз за кожний базовий податковий (звітний) період (рік).</w:t>
      </w:r>
    </w:p>
    <w:p w:rsidR="00A6311B" w:rsidRDefault="00A6311B">
      <w:pPr>
        <w:pStyle w:val="21"/>
        <w:shd w:val="clear" w:color="auto" w:fill="auto"/>
        <w:spacing w:after="176" w:line="307" w:lineRule="exact"/>
        <w:ind w:right="1360"/>
        <w:jc w:val="left"/>
      </w:pPr>
      <w:r>
        <w:t>Пільги з податку, що сплачується на відповідній території з об’єктів житлової нерухомості, для фізичних осіб не надаються на:</w:t>
      </w:r>
    </w:p>
    <w:p w:rsidR="00A6311B" w:rsidRDefault="00A6311B">
      <w:pPr>
        <w:pStyle w:val="21"/>
        <w:shd w:val="clear" w:color="auto" w:fill="auto"/>
        <w:spacing w:after="176" w:line="312" w:lineRule="exact"/>
        <w:jc w:val="left"/>
      </w:pPr>
      <w:r>
        <w:t>об'єкт/об’єкти оподаткування, якщо площа такого/таких об’єкта/об’єктів перевищує п'ятикратний розмір неоподатковуваної площі, затвердженої рішенням органів місцевого самоврядування;</w:t>
      </w:r>
    </w:p>
    <w:p w:rsidR="00A6311B" w:rsidRDefault="00A6311B">
      <w:pPr>
        <w:pStyle w:val="21"/>
        <w:shd w:val="clear" w:color="auto" w:fill="auto"/>
        <w:spacing w:line="317" w:lineRule="exact"/>
        <w:jc w:val="left"/>
      </w:pPr>
      <w:r>
        <w:t xml:space="preserve">об'єкти оподаткування, що використовуються їх власниками з метою одержання </w:t>
      </w:r>
      <w:r>
        <w:rPr>
          <w:rStyle w:val="22"/>
        </w:rPr>
        <w:t>дохо</w:t>
      </w:r>
      <w:r>
        <w:rPr>
          <w:rStyle w:val="210"/>
        </w:rPr>
        <w:t xml:space="preserve">дів </w:t>
      </w:r>
      <w:r>
        <w:t>здаються в оренду, лізинг, позичку, використовуються у підприємницькій діяльності).</w:t>
      </w:r>
    </w:p>
    <w:sectPr w:rsidR="00A6311B" w:rsidSect="007D57AA">
      <w:pgSz w:w="11900" w:h="16840"/>
      <w:pgMar w:top="111" w:right="904" w:bottom="1388" w:left="147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11B" w:rsidRDefault="00A6311B" w:rsidP="007D57AA">
      <w:r>
        <w:separator/>
      </w:r>
    </w:p>
  </w:endnote>
  <w:endnote w:type="continuationSeparator" w:id="0">
    <w:p w:rsidR="00A6311B" w:rsidRDefault="00A6311B" w:rsidP="007D5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11B" w:rsidRDefault="00A6311B"/>
  </w:footnote>
  <w:footnote w:type="continuationSeparator" w:id="0">
    <w:p w:rsidR="00A6311B" w:rsidRDefault="00A6311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24D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70943D6B"/>
    <w:multiLevelType w:val="multilevel"/>
    <w:tmpl w:val="FFFFFFFF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7AA"/>
    <w:rsid w:val="002E6854"/>
    <w:rsid w:val="007D57AA"/>
    <w:rsid w:val="009E71A6"/>
    <w:rsid w:val="00A6311B"/>
    <w:rsid w:val="00E9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7AA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D57AA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7D57AA"/>
    <w:rPr>
      <w:rFonts w:ascii="Times New Roman" w:hAnsi="Times New Roman" w:cs="Times New Roman"/>
      <w:spacing w:val="0"/>
      <w:u w:val="none"/>
    </w:rPr>
  </w:style>
  <w:style w:type="character" w:customStyle="1" w:styleId="20">
    <w:name w:val="Основной текст (2)"/>
    <w:basedOn w:val="2"/>
    <w:uiPriority w:val="99"/>
    <w:rsid w:val="007D57AA"/>
    <w:rPr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215pt">
    <w:name w:val="Основной текст (2) + 15 pt"/>
    <w:aliases w:val="Курсив,Интервал -1 pt"/>
    <w:basedOn w:val="2"/>
    <w:uiPriority w:val="99"/>
    <w:rsid w:val="007D57AA"/>
    <w:rPr>
      <w:b/>
      <w:bCs/>
      <w:i/>
      <w:iCs/>
      <w:color w:val="000000"/>
      <w:spacing w:val="-30"/>
      <w:w w:val="100"/>
      <w:position w:val="0"/>
      <w:sz w:val="30"/>
      <w:szCs w:val="30"/>
      <w:u w:val="single"/>
      <w:lang w:val="uk-UA" w:eastAsia="uk-UA"/>
    </w:rPr>
  </w:style>
  <w:style w:type="character" w:customStyle="1" w:styleId="215pt1">
    <w:name w:val="Основной текст (2) + 15 pt1"/>
    <w:aliases w:val="Курсив1,Интервал -1 pt1"/>
    <w:basedOn w:val="2"/>
    <w:uiPriority w:val="99"/>
    <w:rsid w:val="007D57AA"/>
    <w:rPr>
      <w:b/>
      <w:bCs/>
      <w:i/>
      <w:iCs/>
      <w:color w:val="000000"/>
      <w:spacing w:val="-30"/>
      <w:w w:val="100"/>
      <w:position w:val="0"/>
      <w:sz w:val="30"/>
      <w:szCs w:val="30"/>
      <w:lang w:val="uk-UA" w:eastAsia="uk-U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7D57AA"/>
    <w:rPr>
      <w:rFonts w:ascii="Trebuchet MS" w:eastAsia="Times New Roman" w:hAnsi="Trebuchet MS" w:cs="Trebuchet MS"/>
      <w:spacing w:val="-10"/>
      <w:sz w:val="9"/>
      <w:szCs w:val="9"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7D57AA"/>
    <w:rPr>
      <w:rFonts w:ascii="Times New Roman" w:hAnsi="Times New Roman" w:cs="Times New Roman"/>
      <w:spacing w:val="0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7D57AA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2">
    <w:name w:val="Основной текст (2) + Полужирный"/>
    <w:basedOn w:val="2"/>
    <w:uiPriority w:val="99"/>
    <w:rsid w:val="007D57AA"/>
    <w:rPr>
      <w:b/>
      <w:bCs/>
      <w:color w:val="000000"/>
      <w:w w:val="100"/>
      <w:position w:val="0"/>
      <w:sz w:val="24"/>
      <w:szCs w:val="24"/>
      <w:lang w:val="uk-UA" w:eastAsia="uk-UA"/>
    </w:rPr>
  </w:style>
  <w:style w:type="character" w:customStyle="1" w:styleId="210">
    <w:name w:val="Основной текст (2) + Полужирный1"/>
    <w:basedOn w:val="2"/>
    <w:uiPriority w:val="99"/>
    <w:rsid w:val="007D57AA"/>
    <w:rPr>
      <w:b/>
      <w:bCs/>
      <w:color w:val="000000"/>
      <w:w w:val="100"/>
      <w:position w:val="0"/>
      <w:sz w:val="24"/>
      <w:szCs w:val="24"/>
      <w:u w:val="single"/>
      <w:lang w:val="uk-UA" w:eastAsia="uk-UA"/>
    </w:rPr>
  </w:style>
  <w:style w:type="paragraph" w:customStyle="1" w:styleId="21">
    <w:name w:val="Основной текст (2)1"/>
    <w:basedOn w:val="Normal"/>
    <w:link w:val="2"/>
    <w:uiPriority w:val="99"/>
    <w:rsid w:val="007D57A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7D57AA"/>
    <w:pPr>
      <w:shd w:val="clear" w:color="auto" w:fill="FFFFFF"/>
      <w:spacing w:after="120" w:line="240" w:lineRule="atLeast"/>
    </w:pPr>
    <w:rPr>
      <w:rFonts w:ascii="Trebuchet MS" w:hAnsi="Trebuchet MS" w:cs="Trebuchet MS"/>
      <w:spacing w:val="-10"/>
      <w:sz w:val="9"/>
      <w:szCs w:val="9"/>
    </w:rPr>
  </w:style>
  <w:style w:type="paragraph" w:customStyle="1" w:styleId="40">
    <w:name w:val="Основной текст (4)"/>
    <w:basedOn w:val="Normal"/>
    <w:link w:val="4"/>
    <w:uiPriority w:val="99"/>
    <w:rsid w:val="007D57AA"/>
    <w:pPr>
      <w:shd w:val="clear" w:color="auto" w:fill="FFFFFF"/>
      <w:spacing w:after="180" w:line="307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Normal"/>
    <w:link w:val="1"/>
    <w:uiPriority w:val="99"/>
    <w:rsid w:val="007D57AA"/>
    <w:pPr>
      <w:shd w:val="clear" w:color="auto" w:fill="FFFFFF"/>
      <w:spacing w:before="180" w:after="300" w:line="24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-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708</Words>
  <Characters>4036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 до рішення сесії Балтської міської ради Одеської області</dc:title>
  <dc:subject/>
  <dc:creator/>
  <cp:keywords/>
  <dc:description/>
  <cp:lastModifiedBy>nalog</cp:lastModifiedBy>
  <cp:revision>2</cp:revision>
  <dcterms:created xsi:type="dcterms:W3CDTF">2016-11-10T13:11:00Z</dcterms:created>
  <dcterms:modified xsi:type="dcterms:W3CDTF">2016-11-10T13:11:00Z</dcterms:modified>
</cp:coreProperties>
</file>